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1" w:rsidRDefault="00747D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7DB1" w:rsidRDefault="00747DB1">
      <w:pPr>
        <w:pStyle w:val="ConsPlusNormal"/>
        <w:jc w:val="both"/>
        <w:outlineLvl w:val="0"/>
      </w:pPr>
    </w:p>
    <w:p w:rsidR="00747DB1" w:rsidRDefault="00747DB1">
      <w:pPr>
        <w:pStyle w:val="ConsPlusNormal"/>
        <w:jc w:val="right"/>
      </w:pPr>
      <w:r>
        <w:t>Утвержден и введен в действие</w:t>
      </w:r>
    </w:p>
    <w:p w:rsidR="00747DB1" w:rsidRDefault="00747DB1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747DB1" w:rsidRDefault="00747DB1">
      <w:pPr>
        <w:pStyle w:val="ConsPlusNormal"/>
        <w:jc w:val="right"/>
      </w:pPr>
      <w:r>
        <w:t>агентства по техническому</w:t>
      </w:r>
    </w:p>
    <w:p w:rsidR="00747DB1" w:rsidRDefault="00747DB1">
      <w:pPr>
        <w:pStyle w:val="ConsPlusNormal"/>
        <w:jc w:val="right"/>
      </w:pPr>
      <w:r>
        <w:t>регулированию и метрологии</w:t>
      </w:r>
    </w:p>
    <w:p w:rsidR="00747DB1" w:rsidRDefault="00747DB1">
      <w:pPr>
        <w:pStyle w:val="ConsPlusNormal"/>
        <w:jc w:val="right"/>
      </w:pPr>
      <w:r>
        <w:t>от 27 декабря 2007 г. N 565-ст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Title"/>
        <w:jc w:val="center"/>
      </w:pPr>
      <w:r>
        <w:t>НАЦИОНАЛЬНЫЙ СТАНДАРТ РОССИЙСКОЙ ФЕДЕРАЦИИ</w:t>
      </w:r>
    </w:p>
    <w:p w:rsidR="00747DB1" w:rsidRDefault="00747DB1">
      <w:pPr>
        <w:pStyle w:val="ConsPlusTitle"/>
        <w:jc w:val="center"/>
      </w:pPr>
    </w:p>
    <w:p w:rsidR="00747DB1" w:rsidRDefault="00747DB1">
      <w:pPr>
        <w:pStyle w:val="ConsPlusTitle"/>
        <w:jc w:val="center"/>
      </w:pPr>
      <w:r>
        <w:t>УСЛУГИ ДЕТЯМ В УЧРЕЖДЕНИЯХ ОТДЫХА И ОЗДОРОВЛЕНИЯ</w:t>
      </w:r>
    </w:p>
    <w:p w:rsidR="00747DB1" w:rsidRDefault="00747DB1">
      <w:pPr>
        <w:pStyle w:val="ConsPlusTitle"/>
        <w:jc w:val="center"/>
      </w:pPr>
    </w:p>
    <w:p w:rsidR="00747DB1" w:rsidRPr="00747DB1" w:rsidRDefault="00747DB1">
      <w:pPr>
        <w:pStyle w:val="ConsPlusTitle"/>
        <w:jc w:val="center"/>
        <w:rPr>
          <w:lang w:val="en-US"/>
        </w:rPr>
      </w:pPr>
      <w:r w:rsidRPr="00747DB1">
        <w:rPr>
          <w:lang w:val="en-US"/>
        </w:rPr>
        <w:t>Services to children in establishments</w:t>
      </w:r>
    </w:p>
    <w:p w:rsidR="00747DB1" w:rsidRPr="00747DB1" w:rsidRDefault="00747DB1">
      <w:pPr>
        <w:pStyle w:val="ConsPlusTitle"/>
        <w:jc w:val="center"/>
        <w:rPr>
          <w:lang w:val="en-US"/>
        </w:rPr>
      </w:pPr>
      <w:r w:rsidRPr="00747DB1">
        <w:rPr>
          <w:lang w:val="en-US"/>
        </w:rPr>
        <w:t>of rest and rehabilitation of health</w:t>
      </w:r>
    </w:p>
    <w:p w:rsidR="00747DB1" w:rsidRPr="00747DB1" w:rsidRDefault="00747DB1">
      <w:pPr>
        <w:pStyle w:val="ConsPlusTitle"/>
        <w:jc w:val="center"/>
        <w:rPr>
          <w:lang w:val="en-US"/>
        </w:rPr>
      </w:pPr>
    </w:p>
    <w:p w:rsidR="00747DB1" w:rsidRDefault="00747DB1">
      <w:pPr>
        <w:pStyle w:val="ConsPlusTitle"/>
        <w:jc w:val="center"/>
      </w:pPr>
      <w:r>
        <w:t>ГОСТ Р 52887-2007</w:t>
      </w:r>
    </w:p>
    <w:p w:rsidR="00747DB1" w:rsidRDefault="00747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7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DB1" w:rsidRDefault="0074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DB1" w:rsidRDefault="0074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Росстандарта</w:t>
            </w:r>
          </w:p>
          <w:p w:rsidR="00747DB1" w:rsidRDefault="00747DB1">
            <w:pPr>
              <w:pStyle w:val="ConsPlusNormal"/>
              <w:jc w:val="center"/>
            </w:pPr>
            <w:r>
              <w:rPr>
                <w:color w:val="392C69"/>
              </w:rPr>
              <w:t>от 28.06.2011 N 157-ст)</w:t>
            </w:r>
          </w:p>
        </w:tc>
      </w:tr>
    </w:tbl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right"/>
      </w:pPr>
      <w:r>
        <w:t>Дата введения</w:t>
      </w:r>
    </w:p>
    <w:p w:rsidR="00747DB1" w:rsidRDefault="00747DB1">
      <w:pPr>
        <w:pStyle w:val="ConsPlusNormal"/>
        <w:jc w:val="right"/>
      </w:pPr>
      <w:r>
        <w:t>1 января 2009 года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Предисловие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9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Сведения о стандарте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по заказу Министерства здравоохранения и социального развития Российской Федерации.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406 "Социальное обслуживание населения".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 декабря 2007 г. N 565-ст.</w:t>
      </w:r>
    </w:p>
    <w:p w:rsidR="00747DB1" w:rsidRDefault="00747DB1">
      <w:pPr>
        <w:pStyle w:val="ConsPlusNormal"/>
        <w:spacing w:before="220"/>
        <w:ind w:firstLine="540"/>
        <w:jc w:val="both"/>
      </w:pPr>
      <w:bookmarkStart w:id="0" w:name="P31"/>
      <w:bookmarkEnd w:id="0"/>
      <w:r>
        <w:t>4. В настоящем стандарте реализованы нормы Федеральных законов Российской Федерации: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- от 24 июля 1994 г. </w:t>
      </w:r>
      <w:hyperlink r:id="rId11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- от 10 декабря 1995 г. </w:t>
      </w:r>
      <w:hyperlink r:id="rId12" w:history="1">
        <w:r>
          <w:rPr>
            <w:color w:val="0000FF"/>
          </w:rPr>
          <w:t>N 195-ФЗ</w:t>
        </w:r>
      </w:hyperlink>
      <w:r>
        <w:t xml:space="preserve"> "Об основах социального обслуживания населения в Российской Федерации";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- от 27 декабря 2002 г. </w:t>
      </w:r>
      <w:hyperlink r:id="rId13" w:history="1">
        <w:r>
          <w:rPr>
            <w:color w:val="0000FF"/>
          </w:rPr>
          <w:t>N 184-ФЗ</w:t>
        </w:r>
      </w:hyperlink>
      <w:r>
        <w:t xml:space="preserve"> "О техническом регулировании";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 xml:space="preserve">- от 29 декабря 1995 г. </w:t>
      </w:r>
      <w:hyperlink r:id="rId14" w:history="1">
        <w:r>
          <w:rPr>
            <w:color w:val="0000FF"/>
          </w:rPr>
          <w:t>N 223-ФЗ</w:t>
        </w:r>
      </w:hyperlink>
      <w:r>
        <w:t xml:space="preserve"> "Семейный кодекс Российской Федерации".</w:t>
      </w:r>
    </w:p>
    <w:p w:rsidR="00747DB1" w:rsidRDefault="00747DB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Изменением N 1</w:t>
        </w:r>
      </w:hyperlink>
      <w:r>
        <w:t xml:space="preserve">, утв.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 Введен впервые.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1. Область применения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Настоящий стандарт распространяется на услуги детям в организациях и учреждениях (далее - учреждениях) отдыха и оздоровления.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Настоящий стандарт устанавливает виды этих услуг, их состав, формы, порядок и условия предоставления.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2. Нормативные ссылки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747DB1" w:rsidRDefault="00747DB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ГОСТ Р 50644-2009</w:t>
        </w:r>
      </w:hyperlink>
      <w:r>
        <w:t xml:space="preserve"> Туристические услуги. Требования по обеспечению безопасности туристов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ГОСТ Р 50690-2000</w:t>
        </w:r>
      </w:hyperlink>
      <w:r>
        <w:t xml:space="preserve"> Туристские услуги. Общие требования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ГОСТ Р 51185-2008</w:t>
        </w:r>
      </w:hyperlink>
      <w:r>
        <w:t xml:space="preserve"> Туристские услуги. Средства размещения. Общие требования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ГОСТ Р 52143-2003</w:t>
        </w:r>
      </w:hyperlink>
      <w:r>
        <w:t xml:space="preserve"> Социальное обслуживание населения. Основные виды социальных услуг</w:t>
      </w:r>
    </w:p>
    <w:p w:rsidR="00747DB1" w:rsidRDefault="00747DB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ГОСТ Р 52495-2005</w:t>
        </w:r>
      </w:hyperlink>
      <w:r>
        <w:t xml:space="preserve"> Социальное обслуживание населения. Термины и определения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ГОСТ 26265-84 Стандартизация в бытовом обслуживании населения. Основные положения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3. Термины и определения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 xml:space="preserve">В настоящем стандарте применены термины по ГОСТ 26265, </w:t>
      </w:r>
      <w:hyperlink r:id="rId28" w:history="1">
        <w:r>
          <w:rPr>
            <w:color w:val="0000FF"/>
          </w:rPr>
          <w:t>ГОСТ Р 52495</w:t>
        </w:r>
      </w:hyperlink>
      <w:r>
        <w:t xml:space="preserve"> и следующие </w:t>
      </w:r>
      <w:r>
        <w:lastRenderedPageBreak/>
        <w:t>термины с соответствующими определениями: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3.1. Отдых детей и их оздоровление: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3.2. Организации (учреждения) отдыха детей и их оздоровления: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 детские оздоровительные лагеря, лагеря дневного и круглосуточного пребывания детей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учреждения социального обслуживания или их структурные подразделения, учреждения раннего развития детей, службы семьи, индивидуальные предпринимателии др.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Учреждения отдыха детей и их оздоровления могут быть стационарными (специально созданными с целью обеспечения отдыха детей и их оздоровления и временно приспособленными (в том числе передвижными, палаточными с круглосуточным или дневным пребыванием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3.3. Время отдыха: время, в течение которого ребенок свободен от трудовых обязанностей, обязанностей по получению образования и других обязанностей и которое он может использовать по своему усмотрению с согласия лиц или организаций, отвечающих за его воспитание.</w:t>
      </w:r>
    </w:p>
    <w:p w:rsidR="00747DB1" w:rsidRDefault="00747DB1">
      <w:pPr>
        <w:pStyle w:val="ConsPlusNormal"/>
        <w:jc w:val="both"/>
      </w:pPr>
      <w:r>
        <w:t xml:space="preserve">(п. 3.3 введен </w:t>
      </w:r>
      <w:hyperlink r:id="rId31" w:history="1">
        <w:r>
          <w:rPr>
            <w:color w:val="0000FF"/>
          </w:rPr>
          <w:t>Изменением N 1</w:t>
        </w:r>
      </w:hyperlink>
      <w:r>
        <w:t xml:space="preserve">, утв.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4. Общие положения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4.1. Настоящий стандарт разработан в соответствии с положениями Законов Российской Федерации (</w:t>
      </w:r>
      <w:hyperlink w:anchor="P31" w:history="1">
        <w:r>
          <w:rPr>
            <w:color w:val="0000FF"/>
          </w:rPr>
          <w:t>пункт 4</w:t>
        </w:r>
      </w:hyperlink>
      <w:r>
        <w:t xml:space="preserve"> предисловия к стандарту), ГОСТ Р 26265, </w:t>
      </w:r>
      <w:hyperlink r:id="rId33" w:history="1">
        <w:r>
          <w:rPr>
            <w:color w:val="0000FF"/>
          </w:rPr>
          <w:t>ГОСТ Р 50644</w:t>
        </w:r>
      </w:hyperlink>
      <w:r>
        <w:t xml:space="preserve">, </w:t>
      </w:r>
      <w:hyperlink r:id="rId34" w:history="1">
        <w:r>
          <w:rPr>
            <w:color w:val="0000FF"/>
          </w:rPr>
          <w:t>ГОСТ Р 50690</w:t>
        </w:r>
      </w:hyperlink>
      <w:r>
        <w:t xml:space="preserve">, </w:t>
      </w:r>
      <w:hyperlink r:id="rId35" w:history="1">
        <w:r>
          <w:rPr>
            <w:color w:val="0000FF"/>
          </w:rPr>
          <w:t>ГОСТ Р 51185</w:t>
        </w:r>
      </w:hyperlink>
      <w:r>
        <w:t xml:space="preserve">, </w:t>
      </w:r>
      <w:hyperlink r:id="rId36" w:history="1">
        <w:r>
          <w:rPr>
            <w:color w:val="0000FF"/>
          </w:rPr>
          <w:t>ГОСТ Р 52143</w:t>
        </w:r>
      </w:hyperlink>
      <w:r>
        <w:t xml:space="preserve">, </w:t>
      </w:r>
      <w:hyperlink r:id="rId37" w:history="1">
        <w:r>
          <w:rPr>
            <w:color w:val="0000FF"/>
          </w:rPr>
          <w:t>ГОСТ 52495</w:t>
        </w:r>
      </w:hyperlink>
      <w:r>
        <w:t>.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39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4.2. При предоставлении услуг детям учреждения отдыха и оздоровления должны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4.3. В учреждениях отдыха и оздоровления детей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4.4. При оказании услуг детям в учреждениях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</w:t>
      </w:r>
      <w:r>
        <w:lastRenderedPageBreak/>
        <w:t>педагогическую, санитарную экспертизу.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4.5. Объем и качество услуг детям в учреждениях отдыха и оздоровления подвергают внешнему контролю уполномоченных на то органов исполнительной власти и организаций, приобретающих путевки для отдыха и оздоровления детей, а также оценке соответствия требованиям настоящего стандарта в системе добровольной сертификации, зарегистрированной в установленном порядке.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 Для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а) наличие и состояние документации, в соответствии с которой работает учреждение;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б) условия размещения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в) укомплектованность учреждения необходимыми специалистами и уровень их квалификации;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д) наличие системы внутреннего контроля качества предоставляемых услуг.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 Наличие и состояние документации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 состав документации должны входить: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а) устав учреждения и положение об учреждении, зарегистрированные в установленном порядке;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б) штатное расписание;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в) руководства, правила, инструкции, методики, планы и программы работы с детьми;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г) заключения органов санитарно-эпидемиологического надзора, пожарной инспекции;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д) документация на имеющиеся оборудование, приборы, аппаратуру, спортивное и туристское снаряжение;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е) национальные стандарты Российской Федерации;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ж) финансово-хозяйственная и медицинская документация;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и) положение (приказ) о проведении внутреннего контроля.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4.6.1.1. Устав учреждения должен включать в себя: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а) полное, сокращенное и фирменное наименование и предназначение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б) сведения об учреждении, организационно-правовой форме;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в) источники финансирования;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г) какими нормативно-правовыми актами руководствуется учреждение в своей деятельности;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д) юридический статус и адрес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е) цели и основные задачи деятельности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ж) предмет деятельности учреждения (структурные подразделения учреждения, предоставляемые услуги, обслуживаемые группы детей, порядок и условия предоставления услуг).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4.6.1.2. Положение об учреждении должно включать в себя: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а) предназначение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б) основные задачи деятельности учреждения, группы обслуживаемых детей;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в) порядок создания, содержания, реорганизации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г) юридический статус, ведомственная принадлежность, источники финансирования;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д) правила внутреннего распорядка;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е) порядок и условия принятия (зачисления) детей на обслуживание и снятия с него;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ж) правила и обязанности персонала учреждения, детей и их родителей;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з) структурные подразделения учреждения, объем и порядок предоставления ими услуг.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4.6.1.3. Штатное расписание утверждает руководитель учреждения в пределах имеющегося фонда оплаты труда; оно должно подтверждать обеспеченность предоставляемых услуг специалистами необходимой квалификации.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4.6.1.4. Руководства, правила, должностные и прочие инструкции, методики, планы и программы утверждает руководитель учреждения;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4.6.1.5. Заключения органов санитарно-эпидемиологического надзора и пожарной инспекции о соответствии состояния учреждения и территории, на которой оно располагается, санитарным требованиям и требованиям пожарной безопасности.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4.6.1.6. Документация на имеющиеся в учреждении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4.6.1.7. Национальные стандарты Российской Федерации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характеристики оказываемых услуг учреждениями отдыха и оздоровления детей и в смежных областях - туризм, экскурсионное обслуживание, общественное питание и т.п.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4.6.1.8. Финансово-хозяйственная и медицинская документация, которая должна отражать состояние финансовой и хозяйственной деятельности учреждения, медицинского обслуживания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4.6.1.9. В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4.6.2. Условия размещения учреждения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4.6.2.1. Эколого-климатическая характеристика местности, ландшафт и оформление участка, на котором располагают учреждение, архитектура зданий и сооружений учреждения должны обеспечивать создание благоприятных условий для отдыха и оздоровления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4.6.2.2. Учреждение должно быть размещено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4.6.2.3. По своим размерам, состоянию и оборудованию здания и помещения, в которых размещены учреждения, должны соответствовать требованиям санитарно-гигиенических норм и правил, а также требованиям пожарной безопасности.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 Укомплектованность учреждения специалистами и их квалификация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4.6.3.1. Учреждение должно располагать необходимым количеством специалистов в соответствии со штатным расписанием.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4.6.3.2.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4.6.3.3.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4.6.3.4. Наряду с необходимым уровнем квалификации и профессионализмом все сотрудники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4.6.3.5. При оказании услуг персонал учреждения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4.6.4. Техническое оснащение учреждения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4.6.4.1.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их применением услуг соответствующих видов.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4.6.4.2.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4.6.5. Система внутреннего контроля качества предоставляемых услуг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4.6.5.1. Учреждение должно иметь документально оформленную собственную систему (службу) контроля за деятельностью подразделений и сотрудников по оказанию услуг на соответствие национальным стандартам, документации учреждения по вопросам объема, качества и безопасности предоставляемых услуг.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5. Основные виды услуг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Услуги, предоставляемые детям в учреждениях отдыха и оздоровления, разделяют на следующие виды: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а) услуги, обеспечивающие благоприятные и безопасные условия жизнедеятельности детей;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навыков;</w:t>
      </w:r>
    </w:p>
    <w:p w:rsidR="00747DB1" w:rsidRDefault="00747DB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г)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д)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е)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и)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к) транспортные услуги;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л) развивающие услуги, направленные на развитие творческого потенциала и всестороннее развитие способностей у детей.</w:t>
      </w:r>
    </w:p>
    <w:p w:rsidR="00747DB1" w:rsidRDefault="00747DB1">
      <w:pPr>
        <w:pStyle w:val="ConsPlusNormal"/>
        <w:jc w:val="both"/>
      </w:pPr>
      <w:r>
        <w:t xml:space="preserve">(пп. "л" введен </w:t>
      </w:r>
      <w:hyperlink r:id="rId42" w:history="1">
        <w:r>
          <w:rPr>
            <w:color w:val="0000FF"/>
          </w:rPr>
          <w:t>Изменением N 1</w:t>
        </w:r>
      </w:hyperlink>
      <w:r>
        <w:t xml:space="preserve">, утв.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Росстандарта от 28.06.2011 N 157-ст)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5.1. Услуги, обеспечивающие благоприятные</w:t>
      </w:r>
    </w:p>
    <w:p w:rsidR="00747DB1" w:rsidRDefault="00747DB1">
      <w:pPr>
        <w:pStyle w:val="ConsPlusNormal"/>
        <w:jc w:val="center"/>
      </w:pPr>
      <w:r>
        <w:t>и безопасные условия жизнедеятельности детей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Услуги, обеспечивающие благоприятные и безопасные условия жизнедеятельности детей, следует предоставлять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5.1.1. Организация и осуществление приема и размещения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5.1.2.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федеральными законами и нормативными правовыми актами Правительства Российской Федерации и субъектов Российской Федерации.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5.1.3. Обеспечение детей жильем, отвечающим государственным санитарно-эпидемическим правилам и нормативам, требованиям пожарной безопасности и профилактики травматизма.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5.1.4. Предоставление детям полноценного питания, контроль за его организацией и качеством; детям, прибывающим из радиоактивно зараженных территорий, районов Крайнего Севера и приравненных к ним местностей, детям с ослабленным здоровьем должно предоставляться усиленное питание с добавкой в него витаминных и других препаратов для повышения их иммунитета, а детям, прибывающим из радиоактивно загрязненных территорий, кроме того, питание, обладающее лечебно-профилактическими свойствами (обогащенное </w:t>
      </w:r>
      <w:r>
        <w:lastRenderedPageBreak/>
        <w:t>витаминами A, B и C).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5.1.5. Обеспечение детей необходимой мебелью, постельными и другими принадлежностями в соответствии с установленными нормами.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5.1.6. Предоставление детям возможности для соблюдения норм личной гигиены, включая пользование баней или душем.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5.1.7. Уборка жилых помещений и территории, на которой расположено учреждение.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5.1.8. Обеспечение стирки, необходимой санитарной обработки постельного белья, своевременной его замены.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5.1.9. Организация мелкого ремонта одежды и обуви детей.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5.2. Медицинские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Медицинские услуги следует предоставлять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5.2.1. Выявление детей, нуждающихся в неотложной медицинской помощи.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5.2.2. Оказание медицинской помощи.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5.2.3. Доставка детей в случае необходимости в стационарное медицинское учреждение.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5.2.4. Проведение динамического наблюдения за состоянием здоровья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5.2.5. Организация и проведение консультаций и бесед по вопросам здорового образа жизни.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5.2.6. Санитарно-просветительская работа с детьми.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5.2.7. Организация консультативного приема врачами-специалистами.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5.2.8. Организация проведения медицинских процедур врачами (стоматологами и другими специалистами) и занятий - логопедами.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5.2.9. Проведение лечебно-профилактических, санитарно-гигиенических и противоэпидемических мероприятий.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5.2.10. Индивидуальная работа с детьми, направленная на предупреждение вредных привычек (употребление алкоголя, наркотиков, курение, токсикомания).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5.2.11. Подготовка детей к ответственному родительству, обучение основам планирования семьи, профилактики венерических заболеваний, ВИЧ-инфекции и СПИДа.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5.2.12. Разработка и реализация специальных программ оздоровления детей-инвалидов и детей, страдающих хроническими заболеваниями.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5.2.13. Проведение мероприятий по профилактике травматизма.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5.3. Образовательные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Образовательные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5.3.1. Организация работы кружков и клубов по интересам, детских студий, компьютерных классов, творческих объединений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5.3.2. Проведение олимпиад, викторин, конкурсов знаний, выставок технического и художественного творчества, встреч с деятелями науки и искусства.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5.3.3. Организация краеведческой, юннатской и экологической работы.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5.3.4. Организация различных форм общественно полезного и педагогически целесообразного труда детей, соответствующего их возрасту и состоянию здоровья.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5.3.5.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5.3.6. Организация обучения по школьным программам во внеканикулярное время.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5.4. Психологические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Психологические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5.4.1. 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5.4.2.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5.4.3. 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5.4.4.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5.4.5. Оказание психологической помощи детям семей беженцев и вынужденных переселенцев, детям семей безработных граждан, а также детям, прибывающим из районов Крайнего Севера и районов радиационных аварий, в преодолении негативных последствий их проживания в указанных выше условиях, улучшении их психологического самочувствия.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5.5. Правовые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Правовые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5.5.1. Оказание 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5.5.2. Оказание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5.5.3. Предоставление юридических консультаций и помощи детям.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5.6. Услуги культурно-досуговой деятельности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Услуги культурно-досуговой деятельности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5.6.1. Демонстрация художественных и научно-популярных кинофильмов, мультфильмов, слайдов, видеофильмов.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5.6.2. Организация просмотра спектаклей театров юного зрителя, театров для детей и других творческих коллективов.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5.6.3. Организация посещения музеев, выставок.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5.6.4. Организация работы библиотеки, обеспечение детей книгами, журналами, газетами.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5.6.5. Предоставление в пользование детям настольных игр и игрушек, соответствующих их возрасту и полу.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5.6.6. Организация выступлений музыкальных и музыкально-танцевальных коллективов.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5.6.7. Проведение бесед о культуре и искусстве, обсуждений прочитанных книг, просмотренных кинофильмов.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5.6.8. Организация работы дискотеки, проведение танцевальных вечеров, концертов художественной самодеятельности.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5.6.9. Организация и проведение празднования дней рождения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5.6.10. Предоставление игровых комнат для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5.6.11. Предоставление детям возможности участия в работе общественных объединений, созданных по их инициативе.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5.6.12. Организация посещения детей родителями, друзьями и родственниками.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5.7. Услуги в сфере физической культуры и спорта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Услуги в сфере физической культуры и спорта должны соответствовать возрасту и состоянию здоровья детей; их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5.7.1. Проведение утренней гигиенической и лечебной гимнастики.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5.7.2. Проведение занятий по общей физической подготовке детей.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5.7.3. Предоставление спортивных площадок и соответствующих помещений, спортивного инвентаря для проведения спортивных игр и занятий.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5.7.4. Организация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5.7.5. Организация и проведение спортивных праздников, игр и других мероприятий.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5.7.6. Организация помощи по содержанию в надлежащем порядке спортивной одежды, обуви.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5.7.7. Организация и проведение встреч с известными спортсменами и ветеранами спорта.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5.7.8. Организация и проведение военно-спортивных игр и других мероприятий по военно-патриотическому воспитанию.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5.8. Туристские и экскурсионные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Туристские и экскурсионные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lastRenderedPageBreak/>
        <w:t>5.8.1. Обучение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5.8.2. Организация и проведение туристских походов по разработанным и утвержденным маршрутам, спортивно-оздоровительных мероприятий.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5.8.3. Организация и проведение различных экскурсий (городских, загородных, по маршрутам выходного дня и других).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 xml:space="preserve">5.8.4. Предоставляемые детям туристские и экскурсионные услуги должны соответствовать требованиям </w:t>
      </w:r>
      <w:hyperlink r:id="rId44" w:history="1">
        <w:r>
          <w:rPr>
            <w:color w:val="0000FF"/>
          </w:rPr>
          <w:t>ГОСТ Р 50644</w:t>
        </w:r>
      </w:hyperlink>
      <w:r>
        <w:t xml:space="preserve">, </w:t>
      </w:r>
      <w:hyperlink r:id="rId45" w:history="1">
        <w:r>
          <w:rPr>
            <w:color w:val="0000FF"/>
          </w:rPr>
          <w:t>ГОСТ Р 50690</w:t>
        </w:r>
      </w:hyperlink>
      <w:r>
        <w:t xml:space="preserve"> и </w:t>
      </w:r>
      <w:hyperlink r:id="rId46" w:history="1">
        <w:r>
          <w:rPr>
            <w:color w:val="0000FF"/>
          </w:rPr>
          <w:t>ГОСТ Р 51185</w:t>
        </w:r>
      </w:hyperlink>
      <w:r>
        <w:t>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5.9. Информационные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Информационные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5.9.1. Предоставление своевременной и достоверной информации о наименовании учреждения, его местонахождении и предоставляемых услугах.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5.9.2. Предоставление своевременной и достоверной информации о категориях обслуживаемых детей, перечне основных услуг, предоставляемых учреждением, о характеристике услуг, порядке и условиях их предоставления, гарантийных обязательствах учреждения - исполнителя услуг.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5.9.3. Предоставление сведений о порядке проведения обязательного страхования детей на период их пребывания в учреждении.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5.10. Транспортные услуги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Транспортные услуги предоставляют в следующем составе и формах: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5.10.1. Обеспечение транспортных перевозок детей на экскурсии, в походы и другие проводимые учреждением мероприятия в сопровождении работников учреждения.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5.10.2. Доставка детей в медицинские учреждения (в случае необходимости).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1"/>
      </w:pPr>
      <w:r>
        <w:t>5.11. Развивающие услуги</w:t>
      </w:r>
    </w:p>
    <w:p w:rsidR="00747DB1" w:rsidRDefault="00747DB1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Изменением N 1</w:t>
        </w:r>
      </w:hyperlink>
      <w:r>
        <w:t xml:space="preserve">, утв.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Росстандарта</w:t>
      </w:r>
    </w:p>
    <w:p w:rsidR="00747DB1" w:rsidRDefault="00747DB1">
      <w:pPr>
        <w:pStyle w:val="ConsPlusNormal"/>
        <w:jc w:val="center"/>
      </w:pPr>
      <w:r>
        <w:t>от 28.06.2011 N 157-ст)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5.11.1. Развивающие услуги предоставляют детям в центрах раннего развития и в учреждениях иных форм деятельности, в том числе в домашних условиях на основе действующих развивающих программ.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5.11.2. В перечень развивающих программ включают программы адаптации детей к детскому саду, программы развития сотрудничества детей друг с другом, программы обучения детей навыкам словообразования, развития связной речи, коррекции произношения, программы "Игры и развлечения", программы подготовки детей к школе и другие.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5.11.3. Предоставление развивающих услуг имеет целью комплексное развитие способностей детей, их творческого потенциала.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5.11.4. Важной составной частью развивающих услуг, предоставляемых в домашних условиях, является организация работы по присмотру за детьми в семьях и организация процесса их развития.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jc w:val="center"/>
        <w:outlineLvl w:val="0"/>
      </w:pPr>
      <w:r>
        <w:t>6. Порядок и условия предоставления услуг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  <w:r>
        <w:t>6.1. Работу учреждений отдыха и оздоровления детей организуют органы государственной власти Российской Федерации, органы государственной власти субъектов Российской Федерации, органы местного самоуправления совместно с предприятиями и учреждениями различных форм собственности, профсоюзами, молодежными, детскими и иными общественными организациями (объединениями).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6.2. Услуги предоставляются учреждениями на основании добровольного обращения родителей, детей, опекунов, попечителей или других законных представителей, а также заинтересованных учреждений и организаций в соответствующие организации или учреждения, ведающие вопросами отдыха и оздоровления, или непосредственно в учреждения и заключения договора или приобретения путевки.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6.3. При предоставлении услуг в учреждениях отдыха и оздоровления должны обеспечиваться благоприятные и безопасные условия для жизни и здоровья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6.4. Учреждения отдыха и оздоровления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747DB1" w:rsidRDefault="00747DB1">
      <w:pPr>
        <w:pStyle w:val="ConsPlusNormal"/>
        <w:spacing w:before="220"/>
        <w:ind w:firstLine="540"/>
        <w:jc w:val="both"/>
      </w:pPr>
      <w:r>
        <w:t>6.5.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ind w:firstLine="540"/>
        <w:jc w:val="both"/>
      </w:pPr>
    </w:p>
    <w:p w:rsidR="00747DB1" w:rsidRDefault="00747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A8A" w:rsidRDefault="00427A8A">
      <w:bookmarkStart w:id="1" w:name="_GoBack"/>
      <w:bookmarkEnd w:id="1"/>
    </w:p>
    <w:sectPr w:rsidR="00427A8A" w:rsidSect="004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1"/>
    <w:rsid w:val="00427A8A"/>
    <w:rsid w:val="0074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5D57-493F-411E-8699-5A87E92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88F66C60B6840989D0C206E4D9852F1F373E8975BDF95BD368D8E6AQASEH" TargetMode="External"/><Relationship Id="rId18" Type="http://schemas.openxmlformats.org/officeDocument/2006/relationships/hyperlink" Target="consultantplus://offline/ref=7E488F66C60B6840989D0F35774D9852F2F470E39D59829FB56F818C6DA1CD95E5C1AC3E72F283QBS1H" TargetMode="External"/><Relationship Id="rId26" Type="http://schemas.openxmlformats.org/officeDocument/2006/relationships/hyperlink" Target="consultantplus://offline/ref=7E488F66C60B6840989D13356B4D9852F2F376EE9759829FB56F818CQ6SDH" TargetMode="External"/><Relationship Id="rId39" Type="http://schemas.openxmlformats.org/officeDocument/2006/relationships/hyperlink" Target="consultantplus://offline/ref=7E488F66C60B6840989D0C206E4D9852F1F776EE955ADF95BD368D8E6AAE9282E288A03F72F283B7Q5S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88F66C60B6840989D0F35774D9852F2F470E39D59829FB56F818C6DA1CD95E5C1AC3E72F283QBS1H" TargetMode="External"/><Relationship Id="rId34" Type="http://schemas.openxmlformats.org/officeDocument/2006/relationships/hyperlink" Target="consultantplus://offline/ref=7E488F66C60B6840989D0F35774D9852FBF876E99F048897EC6383Q8SBH" TargetMode="External"/><Relationship Id="rId42" Type="http://schemas.openxmlformats.org/officeDocument/2006/relationships/hyperlink" Target="consultantplus://offline/ref=7E488F66C60B6840989D0F35774D9852F2F470E39D59829FB56F818C6DA1CD95E5C1AC3E72F282QBS5H" TargetMode="External"/><Relationship Id="rId47" Type="http://schemas.openxmlformats.org/officeDocument/2006/relationships/hyperlink" Target="consultantplus://offline/ref=7E488F66C60B6840989D0F35774D9852F2F470E39D59829FB56F818C6DA1CD95E5C1AC3E72F282QBS3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E488F66C60B6840989D0C206E4D9852F1F776EE955ADF95BD368D8E6AAE9282E288A03F72F283B7Q5SBH" TargetMode="External"/><Relationship Id="rId12" Type="http://schemas.openxmlformats.org/officeDocument/2006/relationships/hyperlink" Target="consultantplus://offline/ref=7E488F66C60B6840989D0C206E4D9852F2F777E29151DF95BD368D8E6AQASEH" TargetMode="External"/><Relationship Id="rId17" Type="http://schemas.openxmlformats.org/officeDocument/2006/relationships/hyperlink" Target="consultantplus://offline/ref=7E488F66C60B6840989D0F35774D9852FBF87AEE9F048897EC6383Q8SBH" TargetMode="External"/><Relationship Id="rId25" Type="http://schemas.openxmlformats.org/officeDocument/2006/relationships/hyperlink" Target="consultantplus://offline/ref=7E488F66C60B6840989D0C206E4D9852F1F776EE955ADF95BD368D8E6AAE9282E288A03F72F283B7Q5SBH" TargetMode="External"/><Relationship Id="rId33" Type="http://schemas.openxmlformats.org/officeDocument/2006/relationships/hyperlink" Target="consultantplus://offline/ref=7E488F66C60B6840989D0F35774D9852F7F375EA9F048897EC6383Q8SBH" TargetMode="External"/><Relationship Id="rId38" Type="http://schemas.openxmlformats.org/officeDocument/2006/relationships/hyperlink" Target="consultantplus://offline/ref=7E488F66C60B6840989D0F35774D9852F2F470E39D59829FB56F818C6DA1CD95E5C1AC3E72F282QBS7H" TargetMode="External"/><Relationship Id="rId46" Type="http://schemas.openxmlformats.org/officeDocument/2006/relationships/hyperlink" Target="consultantplus://offline/ref=7E488F66C60B6840989D0F35774D9852FAF977EA9F048897EC6383Q8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88F66C60B6840989D0C206E4D9852F1F776EE955ADF95BD368D8E6AAE9282E288A03F72F283B7Q5SBH" TargetMode="External"/><Relationship Id="rId20" Type="http://schemas.openxmlformats.org/officeDocument/2006/relationships/hyperlink" Target="consultantplus://offline/ref=7E488F66C60B6840989D0F35774D9852FBF876E99F048897EC6383Q8SBH" TargetMode="External"/><Relationship Id="rId29" Type="http://schemas.openxmlformats.org/officeDocument/2006/relationships/hyperlink" Target="consultantplus://offline/ref=7E488F66C60B6840989D0F35774D9852F2F470E39D59829FB56F818C6DA1CD95E5C1AC3E72F283QBS0H" TargetMode="External"/><Relationship Id="rId41" Type="http://schemas.openxmlformats.org/officeDocument/2006/relationships/hyperlink" Target="consultantplus://offline/ref=7E488F66C60B6840989D0C206E4D9852F1F776EE955ADF95BD368D8E6AAE9282E288A03F72F283B7Q5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88F66C60B6840989D0F35774D9852F2F470E39D59829FB56F818C6DA1CD95E5C1AC3E72F283QBS3H" TargetMode="External"/><Relationship Id="rId11" Type="http://schemas.openxmlformats.org/officeDocument/2006/relationships/hyperlink" Target="consultantplus://offline/ref=7E488F66C60B6840989D0C206E4D9852F1F17BE3935ADF95BD368D8E6AQASEH" TargetMode="External"/><Relationship Id="rId24" Type="http://schemas.openxmlformats.org/officeDocument/2006/relationships/hyperlink" Target="consultantplus://offline/ref=7E488F66C60B6840989D0F35774D9852F2F470E39D59829FB56F818C6DA1CD95E5C1AC3E72F283QBS1H" TargetMode="External"/><Relationship Id="rId32" Type="http://schemas.openxmlformats.org/officeDocument/2006/relationships/hyperlink" Target="consultantplus://offline/ref=7E488F66C60B6840989D0C206E4D9852F1F776EE955ADF95BD368D8E6AAE9282E288A03F72F283B7Q5SBH" TargetMode="External"/><Relationship Id="rId37" Type="http://schemas.openxmlformats.org/officeDocument/2006/relationships/hyperlink" Target="consultantplus://offline/ref=7E488F66C60B6840989D0C206E4D9852F2F771EB945ADF95BD368D8E6AQASEH" TargetMode="External"/><Relationship Id="rId40" Type="http://schemas.openxmlformats.org/officeDocument/2006/relationships/hyperlink" Target="consultantplus://offline/ref=7E488F66C60B6840989D0F35774D9852F2F470E39D59829FB56F818C6DA1CD95E5C1AC3E72F282QBS6H" TargetMode="External"/><Relationship Id="rId45" Type="http://schemas.openxmlformats.org/officeDocument/2006/relationships/hyperlink" Target="consultantplus://offline/ref=7E488F66C60B6840989D0F35774D9852FBF876E99F048897EC6383Q8SBH" TargetMode="External"/><Relationship Id="rId5" Type="http://schemas.openxmlformats.org/officeDocument/2006/relationships/hyperlink" Target="consultantplus://offline/ref=7E488F66C60B6840989D0C206E4D9852F1F772EB935BDF95BD368D8E6AQASEH" TargetMode="External"/><Relationship Id="rId15" Type="http://schemas.openxmlformats.org/officeDocument/2006/relationships/hyperlink" Target="consultantplus://offline/ref=7E488F66C60B6840989D0F35774D9852F2F470E39D59829FB56F818C6DA1CD95E5C1AC3E72F283QBS3H" TargetMode="External"/><Relationship Id="rId23" Type="http://schemas.openxmlformats.org/officeDocument/2006/relationships/hyperlink" Target="consultantplus://offline/ref=7E488F66C60B6840989D0F35774D9852FBF875E89F048897EC6383Q8SBH" TargetMode="External"/><Relationship Id="rId28" Type="http://schemas.openxmlformats.org/officeDocument/2006/relationships/hyperlink" Target="consultantplus://offline/ref=7E488F66C60B6840989D0C206E4D9852F2F771EB945ADF95BD368D8E6AQASEH" TargetMode="External"/><Relationship Id="rId36" Type="http://schemas.openxmlformats.org/officeDocument/2006/relationships/hyperlink" Target="consultantplus://offline/ref=7E488F66C60B6840989D13356B4D9852F2F376EE9759829FB56F818CQ6SD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E488F66C60B6840989D0C206E4D9852F1F772EB935BDF95BD368D8E6AAE9282E288A03F72F283B7Q5SBH" TargetMode="External"/><Relationship Id="rId19" Type="http://schemas.openxmlformats.org/officeDocument/2006/relationships/hyperlink" Target="consultantplus://offline/ref=7E488F66C60B6840989D0C206E4D9852F1F776EE955ADF95BD368D8E6AAE9282E288A03F72F283B7Q5SBH" TargetMode="External"/><Relationship Id="rId31" Type="http://schemas.openxmlformats.org/officeDocument/2006/relationships/hyperlink" Target="consultantplus://offline/ref=7E488F66C60B6840989D0F35774D9852F2F470E39D59829FB56F818C6DA1CD95E5C1AC3E72F283QBS0H" TargetMode="External"/><Relationship Id="rId44" Type="http://schemas.openxmlformats.org/officeDocument/2006/relationships/hyperlink" Target="consultantplus://offline/ref=7E488F66C60B6840989D0F35774D9852F7F375EA9F048897EC6383Q8S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88F66C60B6840989D13356B4D9852F6F576E89F048897EC6383Q8SBH" TargetMode="External"/><Relationship Id="rId14" Type="http://schemas.openxmlformats.org/officeDocument/2006/relationships/hyperlink" Target="consultantplus://offline/ref=7E488F66C60B6840989D0C206E4D9852F1F974ED9357DF95BD368D8E6AQASEH" TargetMode="External"/><Relationship Id="rId22" Type="http://schemas.openxmlformats.org/officeDocument/2006/relationships/hyperlink" Target="consultantplus://offline/ref=7E488F66C60B6840989D0C206E4D9852F1F776EE955ADF95BD368D8E6AAE9282E288A03F72F283B7Q5SBH" TargetMode="External"/><Relationship Id="rId27" Type="http://schemas.openxmlformats.org/officeDocument/2006/relationships/hyperlink" Target="consultantplus://offline/ref=7E488F66C60B6840989D0C206E4D9852F2F771EB945ADF95BD368D8E6AQASEH" TargetMode="External"/><Relationship Id="rId30" Type="http://schemas.openxmlformats.org/officeDocument/2006/relationships/hyperlink" Target="consultantplus://offline/ref=7E488F66C60B6840989D0C206E4D9852F1F776EE955ADF95BD368D8E6AAE9282E288A03F72F283B7Q5SBH" TargetMode="External"/><Relationship Id="rId35" Type="http://schemas.openxmlformats.org/officeDocument/2006/relationships/hyperlink" Target="consultantplus://offline/ref=7E488F66C60B6840989D0F35774D9852FAF977EA9F048897EC6383Q8SBH" TargetMode="External"/><Relationship Id="rId43" Type="http://schemas.openxmlformats.org/officeDocument/2006/relationships/hyperlink" Target="consultantplus://offline/ref=7E488F66C60B6840989D0C206E4D9852F1F776EE955ADF95BD368D8E6AAE9282E288A03F72F283B7Q5SBH" TargetMode="External"/><Relationship Id="rId48" Type="http://schemas.openxmlformats.org/officeDocument/2006/relationships/hyperlink" Target="consultantplus://offline/ref=7E488F66C60B6840989D0C206E4D9852F1F776EE955ADF95BD368D8E6AAE9282E288A03F72F283B7Q5SBH" TargetMode="External"/><Relationship Id="rId8" Type="http://schemas.openxmlformats.org/officeDocument/2006/relationships/hyperlink" Target="consultantplus://offline/ref=7E488F66C60B6840989D0C206E4D9852F1F373E8975BDF95BD368D8E6AQA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Оксана Валерьевна</dc:creator>
  <cp:keywords/>
  <dc:description/>
  <cp:lastModifiedBy>Колесник Оксана Валерьевна</cp:lastModifiedBy>
  <cp:revision>1</cp:revision>
  <dcterms:created xsi:type="dcterms:W3CDTF">2018-03-12T07:18:00Z</dcterms:created>
  <dcterms:modified xsi:type="dcterms:W3CDTF">2018-03-12T07:18:00Z</dcterms:modified>
</cp:coreProperties>
</file>